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04" w:rsidRPr="00E263C8" w:rsidRDefault="00B62204" w:rsidP="00E77DB2">
      <w:pPr>
        <w:pStyle w:val="Heading1"/>
        <w:ind w:left="0"/>
        <w:jc w:val="center"/>
        <w:rPr>
          <w:rFonts w:cs="Arial"/>
          <w:color w:val="000000" w:themeColor="text1"/>
          <w:spacing w:val="2"/>
          <w:sz w:val="20"/>
          <w:lang w:val="bs-Latn-BA" w:eastAsia="en-US"/>
        </w:rPr>
      </w:pPr>
      <w:r w:rsidRPr="00E263C8">
        <w:rPr>
          <w:rFonts w:cs="Arial"/>
          <w:color w:val="000000" w:themeColor="text1"/>
          <w:spacing w:val="2"/>
          <w:sz w:val="20"/>
          <w:lang w:val="bs-Latn-BA" w:eastAsia="en-US"/>
        </w:rPr>
        <w:t>Obavijest o pozivu za iskazivanje interesa</w:t>
      </w:r>
    </w:p>
    <w:p w:rsidR="00B62204" w:rsidRPr="00E263C8" w:rsidRDefault="00B62204" w:rsidP="00DB302D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br/>
        <w:t xml:space="preserve">Javno </w:t>
      </w:r>
      <w:proofErr w:type="spellStart"/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preduzeće</w:t>
      </w:r>
      <w:proofErr w:type="spellEnd"/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Elektroprivreda Bosne i Hercegovina d.d.-Sarajevo </w:t>
      </w:r>
      <w:r w:rsidR="00EE5A5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(EPBiH)</w:t>
      </w:r>
      <w:r w:rsidR="00C014C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u svo</w:t>
      </w:r>
      <w:r w:rsidR="003623F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m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="00471DC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opredjeljenju</w:t>
      </w:r>
      <w:r w:rsidR="003623F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da značajno poveća udio proizvodnje električne energije iz obnovljivih izvora</w:t>
      </w:r>
      <w:r w:rsidR="00BE767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na teritoriji Bosne i Hercegovine, upućuje: </w:t>
      </w:r>
    </w:p>
    <w:p w:rsidR="00B62204" w:rsidRPr="00E263C8" w:rsidRDefault="00B62204" w:rsidP="00E77DB2">
      <w:pPr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</w:pPr>
    </w:p>
    <w:p w:rsidR="00B62204" w:rsidRPr="00E263C8" w:rsidRDefault="00B62204" w:rsidP="00E77DB2">
      <w:pPr>
        <w:jc w:val="center"/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  <w:t>Poziv zainter</w:t>
      </w:r>
      <w:r w:rsidR="002A1D83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  <w:t>e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  <w:t>s</w:t>
      </w:r>
      <w:r w:rsidR="00F060DC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  <w:t>ovanim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/>
        </w:rPr>
        <w:t xml:space="preserve"> stranama</w:t>
      </w:r>
    </w:p>
    <w:p w:rsidR="000D605B" w:rsidRPr="00E263C8" w:rsidRDefault="00E471A8" w:rsidP="00E77DB2">
      <w:pPr>
        <w:jc w:val="center"/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za </w:t>
      </w:r>
      <w:r w:rsidR="00B6220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iskazivanj</w:t>
      </w:r>
      <w:r w:rsidR="00357A9C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e</w:t>
      </w:r>
      <w:r w:rsidR="00B6220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interesa za prodaju</w:t>
      </w:r>
      <w:r w:rsidR="005833A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/zakup i</w:t>
      </w:r>
      <w:r w:rsidR="008B1207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li </w:t>
      </w:r>
      <w:r w:rsidR="005833A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drugi </w:t>
      </w:r>
      <w:r w:rsidR="008B1207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odgovarajući </w:t>
      </w:r>
      <w:r w:rsidR="005833A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način korištenja</w:t>
      </w:r>
    </w:p>
    <w:p w:rsidR="00B62204" w:rsidRPr="00E263C8" w:rsidRDefault="005833A4" w:rsidP="00E77DB2">
      <w:pPr>
        <w:jc w:val="center"/>
        <w:rPr>
          <w:rFonts w:cs="Arial"/>
          <w:bCs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nekretnina - zemljišta </w:t>
      </w:r>
      <w:r w:rsidR="00E32F6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za izgradnju</w:t>
      </w:r>
      <w:r w:rsidR="00471DC2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="00E32F64" w:rsidRPr="00E263C8">
        <w:rPr>
          <w:rStyle w:val="Strong"/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fotonaponskih elektrana</w:t>
      </w:r>
    </w:p>
    <w:p w:rsidR="00E471A8" w:rsidRPr="00E263C8" w:rsidRDefault="00E471A8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B2240F" w:rsidRPr="00E263C8" w:rsidRDefault="00B62204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Poziv se </w:t>
      </w:r>
      <w:r w:rsidR="005833A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upućuje</w:t>
      </w:r>
      <w:r w:rsidR="00B2240F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:</w:t>
      </w:r>
    </w:p>
    <w:p w:rsidR="00CB4D79" w:rsidRPr="00E263C8" w:rsidRDefault="00CB4D79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B2240F" w:rsidRPr="00E263C8" w:rsidRDefault="00B2240F" w:rsidP="001247D2">
      <w:pPr>
        <w:ind w:left="360" w:hanging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1.</w:t>
      </w:r>
      <w:r w:rsidR="001247D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ab/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Jedinic</w:t>
      </w:r>
      <w:r w:rsidR="005833A4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ama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lokalne samouprave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</w:t>
      </w:r>
      <w:r w:rsidR="00E471A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gradovi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i </w:t>
      </w:r>
      <w:r w:rsidR="00E471A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općine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) zainteres</w:t>
      </w:r>
      <w:r w:rsidR="00F060D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ovanim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za:</w:t>
      </w:r>
    </w:p>
    <w:p w:rsidR="00E471A8" w:rsidRPr="00E263C8" w:rsidRDefault="00E471A8" w:rsidP="001247D2">
      <w:pPr>
        <w:ind w:left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davanje u </w:t>
      </w:r>
      <w:r w:rsidR="005833A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zakup</w:t>
      </w:r>
      <w:r w:rsidR="008C4FA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5833A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ili </w:t>
      </w:r>
      <w:r w:rsidR="005833A4" w:rsidRPr="00E263C8">
        <w:rPr>
          <w:rStyle w:val="Strong"/>
          <w:rFonts w:cs="Arial"/>
          <w:b w:val="0"/>
          <w:noProof w:val="0"/>
          <w:color w:val="000000" w:themeColor="text1"/>
          <w:spacing w:val="2"/>
          <w:sz w:val="20"/>
          <w:szCs w:val="20"/>
          <w:lang w:val="bs-Latn-BA"/>
        </w:rPr>
        <w:t>drugi</w:t>
      </w:r>
      <w:r w:rsidR="008B1207" w:rsidRPr="00E263C8">
        <w:rPr>
          <w:rStyle w:val="Strong"/>
          <w:rFonts w:cs="Arial"/>
          <w:b w:val="0"/>
          <w:noProof w:val="0"/>
          <w:color w:val="000000" w:themeColor="text1"/>
          <w:spacing w:val="2"/>
          <w:sz w:val="20"/>
          <w:szCs w:val="20"/>
          <w:lang w:val="bs-Latn-BA"/>
        </w:rPr>
        <w:t xml:space="preserve"> odgovarajući </w:t>
      </w:r>
      <w:r w:rsidR="005833A4" w:rsidRPr="00E263C8">
        <w:rPr>
          <w:rStyle w:val="Strong"/>
          <w:rFonts w:cs="Arial"/>
          <w:b w:val="0"/>
          <w:noProof w:val="0"/>
          <w:color w:val="000000" w:themeColor="text1"/>
          <w:spacing w:val="2"/>
          <w:sz w:val="20"/>
          <w:szCs w:val="20"/>
          <w:lang w:val="bs-Latn-BA"/>
        </w:rPr>
        <w:t>način korištenja nekretnina -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građevinskog ili 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zemljišta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koje je moguće </w:t>
      </w:r>
      <w:r w:rsidR="00471DC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prenamijeniti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za i</w:t>
      </w:r>
      <w:r w:rsidR="00B2240F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zgradnju fot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onaponskih elektrana</w:t>
      </w:r>
      <w:r w:rsidR="00357A9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, na minimalno 25 godina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Projekt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 bi se realiz</w:t>
      </w:r>
      <w:r w:rsidR="00C014C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ovali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kroz </w:t>
      </w:r>
      <w:r w:rsidR="00EE5A5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uspostavljanje partnerskih odnosa </w:t>
      </w:r>
      <w:r w:rsidR="006D78A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sa lokalnom zajednicom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</w:p>
    <w:p w:rsidR="000F3F23" w:rsidRPr="00E263C8" w:rsidRDefault="000F3F23" w:rsidP="00357A9C">
      <w:pPr>
        <w:ind w:left="284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E471A8" w:rsidRPr="00E263C8" w:rsidRDefault="00E471A8" w:rsidP="001247D2">
      <w:pPr>
        <w:ind w:left="284" w:firstLine="76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Minimaln</w:t>
      </w:r>
      <w:r w:rsidR="00357A9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1A7A4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uslovi koje trebaju ispunjavati ponuđene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nekretnine – zemljišta su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:</w:t>
      </w:r>
    </w:p>
    <w:p w:rsidR="00E471A8" w:rsidRPr="00E263C8" w:rsidRDefault="00606229" w:rsidP="001D5990">
      <w:pPr>
        <w:pStyle w:val="ListParagraph"/>
        <w:numPr>
          <w:ilvl w:val="0"/>
          <w:numId w:val="3"/>
        </w:numPr>
        <w:ind w:hanging="294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Iskoristiva 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površin</w:t>
      </w:r>
      <w:r w:rsidR="00357A9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a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6B48A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100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.000 m</w:t>
      </w:r>
      <w:r w:rsidR="00336617" w:rsidRPr="00E263C8">
        <w:rPr>
          <w:rFonts w:cs="Arial"/>
          <w:noProof w:val="0"/>
          <w:color w:val="000000" w:themeColor="text1"/>
          <w:spacing w:val="2"/>
          <w:sz w:val="20"/>
          <w:szCs w:val="20"/>
          <w:vertAlign w:val="superscript"/>
          <w:lang w:val="bs-Latn-BA" w:eastAsia="en-GB"/>
        </w:rPr>
        <w:t>2</w:t>
      </w:r>
      <w:r w:rsidR="00471DC2" w:rsidRPr="00E263C8">
        <w:rPr>
          <w:rFonts w:cs="Arial"/>
          <w:noProof w:val="0"/>
          <w:color w:val="000000" w:themeColor="text1"/>
          <w:spacing w:val="2"/>
          <w:sz w:val="20"/>
          <w:szCs w:val="20"/>
          <w:vertAlign w:val="superscript"/>
          <w:lang w:val="bs-Latn-BA" w:eastAsia="en-GB"/>
        </w:rPr>
        <w:t xml:space="preserve"> </w:t>
      </w:r>
      <w:r w:rsidR="00471DC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 već</w:t>
      </w:r>
      <w:r w:rsidR="00357A9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a</w:t>
      </w:r>
      <w:r w:rsidR="00FE3CE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(iskoristivost površine biće procijenjena od strane EPBiH)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;</w:t>
      </w:r>
    </w:p>
    <w:p w:rsidR="009B3AEC" w:rsidRPr="00E263C8" w:rsidRDefault="00BE7677" w:rsidP="00357A9C">
      <w:pPr>
        <w:pStyle w:val="ListParagraph"/>
        <w:numPr>
          <w:ilvl w:val="0"/>
          <w:numId w:val="3"/>
        </w:numPr>
        <w:ind w:left="426" w:firstLine="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nesmetan </w:t>
      </w:r>
      <w:r w:rsidR="00E471A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pristup </w:t>
      </w:r>
      <w:r w:rsidR="009B3AE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lokacij</w:t>
      </w:r>
      <w:r w:rsidR="001C4DF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(saobraćajnoj i elektroenergetskoj </w:t>
      </w:r>
      <w:r w:rsidR="001C4DF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infrastrukturi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)</w:t>
      </w:r>
      <w:r w:rsidR="00471DC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</w:p>
    <w:p w:rsidR="00CB4D79" w:rsidRPr="00E263C8" w:rsidRDefault="00CB4D79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B2240F" w:rsidRPr="00E263C8" w:rsidRDefault="006B48A5" w:rsidP="001247D2">
      <w:pPr>
        <w:ind w:left="360" w:hanging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2. </w:t>
      </w:r>
      <w:r w:rsidR="001247D2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ab/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Pravn</w:t>
      </w:r>
      <w:r w:rsidR="00C750BE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im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ili fizičk</w:t>
      </w:r>
      <w:r w:rsidR="00C750BE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im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lic</w:t>
      </w:r>
      <w:r w:rsidR="00C750BE"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im</w:t>
      </w: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a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zainteres</w:t>
      </w:r>
      <w:r w:rsidR="00F060D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ovanim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za:</w:t>
      </w:r>
    </w:p>
    <w:p w:rsidR="00C750BE" w:rsidRPr="00E263C8" w:rsidRDefault="006D78A6" w:rsidP="001247D2">
      <w:pPr>
        <w:ind w:left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rodaj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u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ili zakup </w:t>
      </w:r>
      <w:r w:rsidR="008C4FA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na </w:t>
      </w:r>
      <w:r w:rsidR="0022201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minimalno </w:t>
      </w:r>
      <w:r w:rsidR="008C4FA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25 godina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građevinskog ili 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zemljišta koje je moguće </w:t>
      </w:r>
      <w:r w:rsidR="00C750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prenamijeniti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za izgradnju fotonaponskih elektrana.</w:t>
      </w:r>
    </w:p>
    <w:p w:rsidR="000F3F23" w:rsidRPr="00E263C8" w:rsidRDefault="000F3F23" w:rsidP="00357A9C">
      <w:pPr>
        <w:ind w:left="284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8B1207" w:rsidRPr="00E263C8" w:rsidRDefault="001A7A42" w:rsidP="001247D2">
      <w:pPr>
        <w:ind w:left="284" w:firstLine="76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Minimaln</w:t>
      </w:r>
      <w:r w:rsidR="00357A9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uslovi koje trebaju ispunjavati ponuđene nekretnine – zemljišta su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:</w:t>
      </w:r>
    </w:p>
    <w:p w:rsidR="00AC794E" w:rsidRPr="00E263C8" w:rsidRDefault="00AC794E" w:rsidP="001247D2">
      <w:pPr>
        <w:pStyle w:val="ListParagraph"/>
        <w:numPr>
          <w:ilvl w:val="0"/>
          <w:numId w:val="3"/>
        </w:numPr>
        <w:ind w:left="426" w:firstLine="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vlasništv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C750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zainteres</w:t>
      </w:r>
      <w:r w:rsidR="00F060D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ovane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strane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;</w:t>
      </w:r>
    </w:p>
    <w:p w:rsidR="008B1207" w:rsidRPr="00E263C8" w:rsidRDefault="008E7DBE" w:rsidP="001D5990">
      <w:pPr>
        <w:pStyle w:val="ListParagraph"/>
        <w:numPr>
          <w:ilvl w:val="0"/>
          <w:numId w:val="3"/>
        </w:numPr>
        <w:ind w:hanging="294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iskoristiva 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površin</w:t>
      </w:r>
      <w:r w:rsidR="00B238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a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50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.000 m</w:t>
      </w:r>
      <w:bookmarkStart w:id="0" w:name="_GoBack"/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vertAlign w:val="superscript"/>
          <w:lang w:val="bs-Latn-BA" w:eastAsia="en-GB"/>
        </w:rPr>
        <w:t>2</w:t>
      </w:r>
      <w:bookmarkEnd w:id="0"/>
      <w:r w:rsidR="00C750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i već</w:t>
      </w:r>
      <w:r w:rsidR="00B238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a</w:t>
      </w:r>
      <w:r w:rsidR="00FE3CE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(iskoristivost površine biće procijenjena od strane EPBiH)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;</w:t>
      </w:r>
    </w:p>
    <w:p w:rsidR="008B1207" w:rsidRPr="00E263C8" w:rsidRDefault="00BE7677" w:rsidP="001247D2">
      <w:pPr>
        <w:pStyle w:val="ListParagraph"/>
        <w:numPr>
          <w:ilvl w:val="0"/>
          <w:numId w:val="3"/>
        </w:numPr>
        <w:ind w:left="426" w:firstLine="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nesmetan </w:t>
      </w:r>
      <w:r w:rsidR="008B120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pristup lokacij</w:t>
      </w:r>
      <w:r w:rsidR="001C4DF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(saobraćajnoj i elektroenergetskoj </w:t>
      </w:r>
      <w:r w:rsidR="001C4DF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infrastrukturi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)</w:t>
      </w:r>
      <w:r w:rsidR="00C750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</w:p>
    <w:p w:rsidR="00CB4D79" w:rsidRPr="00E263C8" w:rsidRDefault="00CB4D79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95028C" w:rsidRPr="00E263C8" w:rsidRDefault="008E7DBE" w:rsidP="00952028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EPBiH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poziva sve </w:t>
      </w:r>
      <w:r w:rsidR="00B238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zainteresovane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strane da pošalju </w:t>
      </w:r>
      <w:r w:rsidR="00C014C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„</w:t>
      </w:r>
      <w:r w:rsidR="00451C71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Pismo namjere</w:t>
      </w:r>
      <w:r w:rsidR="00C014CA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“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putem pošte na adresu JP </w:t>
      </w:r>
      <w:r w:rsidR="00D14C5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Elektroprivreda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BiH d.d.-Sarajevo, </w:t>
      </w:r>
      <w:r w:rsidR="0095028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Kapitalne investicije,</w:t>
      </w:r>
      <w:r w:rsidR="00EE5A5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Vilsonovo šetalište 15, 71000 Sarajevo, sa naznakom „Pismo </w:t>
      </w:r>
      <w:r w:rsidR="00451C71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namjere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za prodaju ili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zakup nekretnina 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za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izgradnju </w:t>
      </w:r>
      <w:r w:rsidR="00E73235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FNE</w:t>
      </w:r>
      <w:r w:rsidR="00BE767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- NE OTVARATI</w:t>
      </w:r>
      <w:r w:rsidR="0095028C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“, sa sljedećim podacima:</w:t>
      </w:r>
    </w:p>
    <w:p w:rsidR="0095028C" w:rsidRPr="00E263C8" w:rsidRDefault="0095028C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95028C" w:rsidRPr="00E263C8" w:rsidRDefault="0095028C" w:rsidP="007F5183">
      <w:pPr>
        <w:pStyle w:val="ListParagraph"/>
        <w:numPr>
          <w:ilvl w:val="0"/>
          <w:numId w:val="6"/>
        </w:numPr>
        <w:ind w:left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>Jedinice lokalne samouprave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trebaju dostaviti pismo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namjere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potpisano od strane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ovlašten</w:t>
      </w:r>
      <w:r w:rsidR="00C750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e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osobe</w:t>
      </w:r>
      <w:r w:rsidR="00B238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,</w:t>
      </w:r>
      <w:r w:rsidR="00BB354B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sa dokazima o ispunjavanju minimalnih uslova, uključujući i podatke: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kartografski prikaz</w:t>
      </w:r>
      <w:r w:rsidR="00BB354B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,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katastarska općina, katastarska čestica, </w:t>
      </w:r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orijentacija parcele</w:t>
      </w:r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(</w:t>
      </w:r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sjever, </w:t>
      </w:r>
      <w:proofErr w:type="spellStart"/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sjevero</w:t>
      </w:r>
      <w:proofErr w:type="spellEnd"/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-istok, istok, jugo-istok, jug, jugo-zapad, zapad ili </w:t>
      </w:r>
      <w:proofErr w:type="spellStart"/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sjevero</w:t>
      </w:r>
      <w:proofErr w:type="spellEnd"/>
      <w:r w:rsidR="00B5163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-zapad</w:t>
      </w:r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)</w:t>
      </w:r>
      <w:r w:rsidR="0060272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</w:p>
    <w:p w:rsidR="00156B2D" w:rsidRPr="00E263C8" w:rsidRDefault="000B0F2C" w:rsidP="001247D2">
      <w:pPr>
        <w:ind w:left="360"/>
        <w:contextualSpacing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Visina naknade zakupa ili drugog oblika korištenja ne može biti veća od visine utvrđene odlukom o utvrđivanju visine naknade za korištenje građevinskog zemljišta gradskog ili općinskog vijeća</w:t>
      </w:r>
      <w:r w:rsidR="00156B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.</w:t>
      </w:r>
    </w:p>
    <w:p w:rsidR="000B0F2C" w:rsidRPr="00E263C8" w:rsidRDefault="000B0F2C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451C71" w:rsidRPr="00E263C8" w:rsidRDefault="00451C71" w:rsidP="007F5183">
      <w:pPr>
        <w:pStyle w:val="ListParagraph"/>
        <w:numPr>
          <w:ilvl w:val="0"/>
          <w:numId w:val="6"/>
        </w:numPr>
        <w:ind w:left="360"/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  <w:r w:rsidRPr="00E263C8">
        <w:rPr>
          <w:rFonts w:cs="Arial"/>
          <w:b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Pravna i fizička lica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trebaju dostaviti pismo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namjere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potpisano od strane </w:t>
      </w:r>
      <w:r w:rsidR="00AC794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ovlaštene </w:t>
      </w:r>
      <w:r w:rsidR="0050291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osobe pravnog lica</w:t>
      </w:r>
      <w:r w:rsidR="00B238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/vlasnika,</w:t>
      </w:r>
      <w:r w:rsidR="0050291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sa dokazima o ispunjavanju minimalnih uslova, uključujući i podatke: kartografski prikaz, katastarska općina, katastarska čestica, orijentacija parcele (sjever, </w:t>
      </w:r>
      <w:proofErr w:type="spellStart"/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sjevero</w:t>
      </w:r>
      <w:proofErr w:type="spellEnd"/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-istok, istok, jugo-istok, jug, jugo-zapad, zapad ili </w:t>
      </w:r>
      <w:proofErr w:type="spellStart"/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sjevero</w:t>
      </w:r>
      <w:proofErr w:type="spellEnd"/>
      <w:r w:rsidR="002C5F5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-zapad).</w:t>
      </w:r>
    </w:p>
    <w:p w:rsidR="001F2319" w:rsidRPr="00E263C8" w:rsidRDefault="001F2319" w:rsidP="000B0F2C">
      <w:pPr>
        <w:contextualSpacing/>
        <w:jc w:val="both"/>
        <w:rPr>
          <w:noProof w:val="0"/>
          <w:sz w:val="20"/>
          <w:szCs w:val="20"/>
          <w:lang w:val="bs-Latn-BA"/>
        </w:rPr>
      </w:pPr>
    </w:p>
    <w:p w:rsidR="000B0F2C" w:rsidRPr="00E263C8" w:rsidRDefault="000B0F2C" w:rsidP="000B0F2C">
      <w:pPr>
        <w:contextualSpacing/>
        <w:jc w:val="both"/>
        <w:rPr>
          <w:noProof w:val="0"/>
          <w:sz w:val="20"/>
          <w:szCs w:val="20"/>
          <w:lang w:val="bs-Latn-BA"/>
        </w:rPr>
      </w:pPr>
      <w:r w:rsidRPr="00E263C8">
        <w:rPr>
          <w:noProof w:val="0"/>
          <w:sz w:val="20"/>
          <w:szCs w:val="20"/>
          <w:lang w:val="bs-Latn-BA"/>
        </w:rPr>
        <w:t xml:space="preserve">Vrijednost nekretnine - zemljišta bit će utvrđena na osnovu nalaza sudskog vještaka, pri čemu EPBiH </w:t>
      </w:r>
      <w:proofErr w:type="spellStart"/>
      <w:r w:rsidRPr="00E263C8">
        <w:rPr>
          <w:noProof w:val="0"/>
          <w:sz w:val="20"/>
          <w:szCs w:val="20"/>
          <w:lang w:val="bs-Latn-BA"/>
        </w:rPr>
        <w:t>zadržava</w:t>
      </w:r>
      <w:proofErr w:type="spellEnd"/>
      <w:r w:rsidRPr="00E263C8">
        <w:rPr>
          <w:noProof w:val="0"/>
          <w:sz w:val="20"/>
          <w:szCs w:val="20"/>
          <w:lang w:val="bs-Latn-BA"/>
        </w:rPr>
        <w:t xml:space="preserve"> pravo izbora povoljnije opcije (ponuda vlasnika ili procjena vještaka), a visina naknade zakupa ili drugog oblika korištenja ne može biti veća od visine utvrđene odlukom o utvrđivanju visine naknade za korištenje građevinskog zemljišta gradskog ili općinskog vijeća.</w:t>
      </w:r>
    </w:p>
    <w:p w:rsidR="00156B2D" w:rsidRPr="00E263C8" w:rsidRDefault="00156B2D" w:rsidP="00156B2D">
      <w:pPr>
        <w:contextualSpacing/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</w:pPr>
    </w:p>
    <w:p w:rsidR="00713428" w:rsidRPr="00E263C8" w:rsidRDefault="00BE7677" w:rsidP="000F3F23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Poziv zainteresiranim strana otvoren</w:t>
      </w:r>
      <w:r w:rsidR="000F3F2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je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do 31.12.202</w:t>
      </w:r>
      <w:r w:rsidR="008E7DBE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2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. godine</w:t>
      </w:r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. Na osnovu dobivenih podataka i informacija EPBiH će izvršiti inicijalnu ocjenu,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o </w:t>
      </w:r>
      <w:r w:rsidR="00731E6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čemu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će podnosioci biti obaviješteni</w:t>
      </w:r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.</w:t>
      </w:r>
      <w:r w:rsidR="000F3F23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Ocjena pristiglih ponuda vršit će se kontinuirano u periodu važenja oglasa, sukcesivno po prispijeću. </w:t>
      </w:r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U procesu inicijalne ocjene EPBiH može po potrebi uputiti zahtjev za </w:t>
      </w:r>
      <w:proofErr w:type="spellStart"/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pojašnjenje</w:t>
      </w:r>
      <w:proofErr w:type="spellEnd"/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ili dopunu pisma </w:t>
      </w:r>
      <w:r w:rsidR="00713428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namjere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- aplikacije</w:t>
      </w:r>
      <w:r w:rsidR="00B62204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.</w:t>
      </w:r>
    </w:p>
    <w:p w:rsidR="00713428" w:rsidRPr="00E263C8" w:rsidRDefault="00713428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</w:p>
    <w:p w:rsidR="00713428" w:rsidRPr="00E263C8" w:rsidRDefault="00731E68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Za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</w:t>
      </w:r>
      <w:r w:rsidR="008B2AD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lokacije/</w:t>
      </w:r>
      <w:r w:rsidR="001B5CE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nekretnin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>e</w:t>
      </w:r>
      <w:r w:rsidR="001B5CE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– zemljišta</w:t>
      </w:r>
      <w:r w:rsidR="008B2AD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 w:eastAsia="en-GB"/>
        </w:rPr>
        <w:t xml:space="preserve"> 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koj</w:t>
      </w:r>
      <w:r w:rsidR="008B2AD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e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budu oc</w:t>
      </w:r>
      <w:r w:rsidR="00EE5A59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i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jenjene kao pogodn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a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za izgradnju fotonaponskih elektrana 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i prihvatljiva za </w:t>
      </w:r>
      <w:r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EPBiH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, bit će upućen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zahtjev </w:t>
      </w:r>
      <w:r w:rsidR="001B5CE7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pod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nosiocu 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p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isma namjere</w:t>
      </w:r>
      <w:r w:rsidR="00BD392D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 xml:space="preserve"> – aplikacije </w:t>
      </w:r>
      <w:r w:rsidR="000C2A80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za dostavu detaljnih informacija</w:t>
      </w:r>
      <w:r w:rsidR="002C5AE6" w:rsidRPr="00E263C8"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  <w:t>.</w:t>
      </w:r>
    </w:p>
    <w:p w:rsidR="005047D3" w:rsidRPr="00E263C8" w:rsidRDefault="005047D3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</w:p>
    <w:p w:rsidR="00B62204" w:rsidRPr="00E263C8" w:rsidRDefault="00B62204" w:rsidP="00E77DB2">
      <w:pPr>
        <w:jc w:val="both"/>
        <w:rPr>
          <w:rFonts w:cs="Arial"/>
          <w:noProof w:val="0"/>
          <w:color w:val="000000" w:themeColor="text1"/>
          <w:spacing w:val="2"/>
          <w:sz w:val="20"/>
          <w:szCs w:val="20"/>
          <w:lang w:val="bs-Latn-BA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620"/>
      </w:tblGrid>
      <w:tr w:rsidR="005047D3" w:rsidRPr="00E263C8" w:rsidTr="00B9350B">
        <w:tc>
          <w:tcPr>
            <w:tcW w:w="5245" w:type="dxa"/>
          </w:tcPr>
          <w:p w:rsidR="005047D3" w:rsidRPr="00E263C8" w:rsidRDefault="005047D3" w:rsidP="005047D3">
            <w:pPr>
              <w:jc w:val="both"/>
              <w:rPr>
                <w:noProof w:val="0"/>
                <w:sz w:val="20"/>
                <w:szCs w:val="20"/>
                <w:lang w:val="bs-Latn-BA"/>
              </w:rPr>
            </w:pPr>
          </w:p>
        </w:tc>
        <w:tc>
          <w:tcPr>
            <w:tcW w:w="4786" w:type="dxa"/>
          </w:tcPr>
          <w:p w:rsidR="005047D3" w:rsidRPr="00E263C8" w:rsidRDefault="005047D3" w:rsidP="005047D3">
            <w:pPr>
              <w:jc w:val="center"/>
              <w:rPr>
                <w:noProof w:val="0"/>
                <w:sz w:val="20"/>
                <w:szCs w:val="20"/>
                <w:lang w:val="bs-Latn-BA"/>
              </w:rPr>
            </w:pPr>
            <w:r w:rsidRPr="00E263C8">
              <w:rPr>
                <w:noProof w:val="0"/>
                <w:sz w:val="20"/>
                <w:szCs w:val="20"/>
                <w:lang w:val="bs-Latn-BA"/>
              </w:rPr>
              <w:t>Izvršni direktor</w:t>
            </w:r>
          </w:p>
          <w:p w:rsidR="005047D3" w:rsidRPr="00E263C8" w:rsidRDefault="005047D3" w:rsidP="005047D3">
            <w:pPr>
              <w:jc w:val="center"/>
              <w:rPr>
                <w:noProof w:val="0"/>
                <w:sz w:val="20"/>
                <w:szCs w:val="20"/>
                <w:lang w:val="bs-Latn-BA"/>
              </w:rPr>
            </w:pPr>
            <w:r w:rsidRPr="00E263C8">
              <w:rPr>
                <w:noProof w:val="0"/>
                <w:sz w:val="20"/>
                <w:szCs w:val="20"/>
                <w:lang w:val="bs-Latn-BA"/>
              </w:rPr>
              <w:t>za kapitalne investicije</w:t>
            </w:r>
          </w:p>
          <w:p w:rsidR="005047D3" w:rsidRPr="00E263C8" w:rsidRDefault="005047D3" w:rsidP="005047D3">
            <w:pPr>
              <w:rPr>
                <w:noProof w:val="0"/>
                <w:sz w:val="20"/>
                <w:szCs w:val="20"/>
                <w:lang w:val="bs-Latn-BA"/>
              </w:rPr>
            </w:pPr>
          </w:p>
          <w:p w:rsidR="005047D3" w:rsidRPr="00E263C8" w:rsidRDefault="005047D3" w:rsidP="005047D3">
            <w:pPr>
              <w:jc w:val="center"/>
              <w:rPr>
                <w:noProof w:val="0"/>
                <w:sz w:val="20"/>
                <w:szCs w:val="20"/>
                <w:lang w:val="bs-Latn-BA"/>
              </w:rPr>
            </w:pPr>
            <w:r w:rsidRPr="00E263C8">
              <w:rPr>
                <w:noProof w:val="0"/>
                <w:sz w:val="20"/>
                <w:szCs w:val="20"/>
                <w:lang w:val="bs-Latn-BA"/>
              </w:rPr>
              <w:t xml:space="preserve">dr.sci. Senad </w:t>
            </w:r>
            <w:proofErr w:type="spellStart"/>
            <w:r w:rsidRPr="00E263C8">
              <w:rPr>
                <w:noProof w:val="0"/>
                <w:sz w:val="20"/>
                <w:szCs w:val="20"/>
                <w:lang w:val="bs-Latn-BA"/>
              </w:rPr>
              <w:t>Salkić</w:t>
            </w:r>
            <w:proofErr w:type="spellEnd"/>
          </w:p>
        </w:tc>
      </w:tr>
    </w:tbl>
    <w:p w:rsidR="003A7B4C" w:rsidRPr="00E263C8" w:rsidRDefault="003A7B4C" w:rsidP="00852741">
      <w:pPr>
        <w:rPr>
          <w:noProof w:val="0"/>
          <w:sz w:val="20"/>
          <w:szCs w:val="20"/>
          <w:lang w:val="bs-Latn-BA"/>
        </w:rPr>
      </w:pPr>
    </w:p>
    <w:sectPr w:rsidR="003A7B4C" w:rsidRPr="00E263C8" w:rsidSect="00E77DB2">
      <w:headerReference w:type="default" r:id="rId7"/>
      <w:pgSz w:w="11906" w:h="16838" w:code="9"/>
      <w:pgMar w:top="692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47" w:rsidRDefault="003B5747">
      <w:r>
        <w:separator/>
      </w:r>
    </w:p>
  </w:endnote>
  <w:endnote w:type="continuationSeparator" w:id="0">
    <w:p w:rsidR="003B5747" w:rsidRDefault="003B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47" w:rsidRDefault="003B5747">
      <w:r>
        <w:separator/>
      </w:r>
    </w:p>
  </w:footnote>
  <w:footnote w:type="continuationSeparator" w:id="0">
    <w:p w:rsidR="003B5747" w:rsidRDefault="003B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38" w:rsidRPr="004C31A3" w:rsidRDefault="003B5747" w:rsidP="004C31A3">
    <w:pPr>
      <w:pStyle w:val="Header"/>
      <w:tabs>
        <w:tab w:val="clear" w:pos="4536"/>
        <w:tab w:val="clear" w:pos="9072"/>
        <w:tab w:val="center" w:pos="-4678"/>
      </w:tabs>
      <w:ind w:left="1418" w:right="-2"/>
      <w:jc w:val="center"/>
      <w:rPr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7668"/>
    <w:multiLevelType w:val="hybridMultilevel"/>
    <w:tmpl w:val="762E641A"/>
    <w:lvl w:ilvl="0" w:tplc="10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931A64"/>
    <w:multiLevelType w:val="multilevel"/>
    <w:tmpl w:val="6778F2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4F1B"/>
    <w:multiLevelType w:val="hybridMultilevel"/>
    <w:tmpl w:val="034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F6E24"/>
    <w:multiLevelType w:val="hybridMultilevel"/>
    <w:tmpl w:val="A840141A"/>
    <w:lvl w:ilvl="0" w:tplc="E1D2B2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A701E"/>
    <w:multiLevelType w:val="hybridMultilevel"/>
    <w:tmpl w:val="E3F0230E"/>
    <w:lvl w:ilvl="0" w:tplc="DF4017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16C8"/>
    <w:multiLevelType w:val="hybridMultilevel"/>
    <w:tmpl w:val="5330DC32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04"/>
    <w:rsid w:val="00040D1B"/>
    <w:rsid w:val="000A3756"/>
    <w:rsid w:val="000B0F2C"/>
    <w:rsid w:val="000B74B6"/>
    <w:rsid w:val="000C2A80"/>
    <w:rsid w:val="000D605B"/>
    <w:rsid w:val="000F3F23"/>
    <w:rsid w:val="00101B37"/>
    <w:rsid w:val="001247D2"/>
    <w:rsid w:val="00156B2D"/>
    <w:rsid w:val="001967A4"/>
    <w:rsid w:val="001A7A42"/>
    <w:rsid w:val="001B5CE7"/>
    <w:rsid w:val="001C4DF3"/>
    <w:rsid w:val="001C5F6E"/>
    <w:rsid w:val="001D5990"/>
    <w:rsid w:val="001F2319"/>
    <w:rsid w:val="00205379"/>
    <w:rsid w:val="00215C82"/>
    <w:rsid w:val="00222017"/>
    <w:rsid w:val="00292C5C"/>
    <w:rsid w:val="002A1D83"/>
    <w:rsid w:val="002C3104"/>
    <w:rsid w:val="002C5AE6"/>
    <w:rsid w:val="002C5F57"/>
    <w:rsid w:val="002D3425"/>
    <w:rsid w:val="00331044"/>
    <w:rsid w:val="00336617"/>
    <w:rsid w:val="00357A9C"/>
    <w:rsid w:val="003620A8"/>
    <w:rsid w:val="003623F0"/>
    <w:rsid w:val="003A7B4C"/>
    <w:rsid w:val="003B5747"/>
    <w:rsid w:val="003E5843"/>
    <w:rsid w:val="00421E1D"/>
    <w:rsid w:val="00451C71"/>
    <w:rsid w:val="00471DC2"/>
    <w:rsid w:val="0049362F"/>
    <w:rsid w:val="00502910"/>
    <w:rsid w:val="005047D3"/>
    <w:rsid w:val="0055276C"/>
    <w:rsid w:val="005833A4"/>
    <w:rsid w:val="005876B1"/>
    <w:rsid w:val="0059158E"/>
    <w:rsid w:val="005D1DA6"/>
    <w:rsid w:val="00602729"/>
    <w:rsid w:val="00602EB1"/>
    <w:rsid w:val="00606229"/>
    <w:rsid w:val="006218DF"/>
    <w:rsid w:val="00626206"/>
    <w:rsid w:val="006B48A5"/>
    <w:rsid w:val="006D78A6"/>
    <w:rsid w:val="00713428"/>
    <w:rsid w:val="00731E68"/>
    <w:rsid w:val="00747011"/>
    <w:rsid w:val="00764E09"/>
    <w:rsid w:val="00766214"/>
    <w:rsid w:val="007F5183"/>
    <w:rsid w:val="00852741"/>
    <w:rsid w:val="00875073"/>
    <w:rsid w:val="008B1207"/>
    <w:rsid w:val="008B2AD9"/>
    <w:rsid w:val="008C4FA3"/>
    <w:rsid w:val="008E7DBE"/>
    <w:rsid w:val="00907CA2"/>
    <w:rsid w:val="00940E35"/>
    <w:rsid w:val="0095028C"/>
    <w:rsid w:val="00952028"/>
    <w:rsid w:val="009B3AEC"/>
    <w:rsid w:val="009D5CB2"/>
    <w:rsid w:val="00A52CBB"/>
    <w:rsid w:val="00AB70CF"/>
    <w:rsid w:val="00AC794E"/>
    <w:rsid w:val="00AE41B3"/>
    <w:rsid w:val="00B15105"/>
    <w:rsid w:val="00B17A9A"/>
    <w:rsid w:val="00B2240F"/>
    <w:rsid w:val="00B23868"/>
    <w:rsid w:val="00B4449C"/>
    <w:rsid w:val="00B51637"/>
    <w:rsid w:val="00B62204"/>
    <w:rsid w:val="00B6585E"/>
    <w:rsid w:val="00BB354B"/>
    <w:rsid w:val="00BD392D"/>
    <w:rsid w:val="00BE7677"/>
    <w:rsid w:val="00C014CA"/>
    <w:rsid w:val="00C10A15"/>
    <w:rsid w:val="00C224CF"/>
    <w:rsid w:val="00C304FA"/>
    <w:rsid w:val="00C60CC7"/>
    <w:rsid w:val="00C750BE"/>
    <w:rsid w:val="00C97A81"/>
    <w:rsid w:val="00CB300F"/>
    <w:rsid w:val="00CB4D79"/>
    <w:rsid w:val="00CE362D"/>
    <w:rsid w:val="00D14C54"/>
    <w:rsid w:val="00D77AA3"/>
    <w:rsid w:val="00D83E6F"/>
    <w:rsid w:val="00D86BA9"/>
    <w:rsid w:val="00DB302D"/>
    <w:rsid w:val="00E02DE9"/>
    <w:rsid w:val="00E14B6A"/>
    <w:rsid w:val="00E17C39"/>
    <w:rsid w:val="00E263C8"/>
    <w:rsid w:val="00E32F64"/>
    <w:rsid w:val="00E471A8"/>
    <w:rsid w:val="00E66047"/>
    <w:rsid w:val="00E73235"/>
    <w:rsid w:val="00E77DB2"/>
    <w:rsid w:val="00E9709F"/>
    <w:rsid w:val="00EC28DD"/>
    <w:rsid w:val="00EE5A59"/>
    <w:rsid w:val="00F060DC"/>
    <w:rsid w:val="00F25749"/>
    <w:rsid w:val="00F360DA"/>
    <w:rsid w:val="00F46987"/>
    <w:rsid w:val="00F47A99"/>
    <w:rsid w:val="00F838D7"/>
    <w:rsid w:val="00F93EE5"/>
    <w:rsid w:val="00FC59BF"/>
    <w:rsid w:val="00FD7E2C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116D0B2-D435-4342-89C7-B7C9697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B62204"/>
    <w:pPr>
      <w:keepNext/>
      <w:ind w:left="720"/>
      <w:outlineLvl w:val="0"/>
    </w:pPr>
    <w:rPr>
      <w:b/>
      <w:noProof w:val="0"/>
      <w:color w:val="FF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204"/>
    <w:rPr>
      <w:rFonts w:ascii="Times New Roman" w:eastAsia="Times New Roman" w:hAnsi="Times New Roman" w:cs="Times New Roman"/>
      <w:b/>
      <w:color w:val="FF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B6220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6220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62204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62204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ListParagraph">
    <w:name w:val="List Paragraph"/>
    <w:aliases w:val="Graph &amp; Table tite,En tête 1,Paragrafo elenco1,List (Mannvit),Left Bullet L1,List Paragraph1,Heading 21,Heading 20,Colorful List - Accent 11,REPORT Bullet,Nabrajanje,Tocka,KiF bullets,UNIZG_ALU_bullet,Lettre d'introduction,FM,Bullet1"/>
    <w:basedOn w:val="Normal"/>
    <w:link w:val="ListParagraphChar"/>
    <w:uiPriority w:val="34"/>
    <w:qFormat/>
    <w:rsid w:val="00B62204"/>
    <w:pPr>
      <w:ind w:left="720"/>
    </w:pPr>
  </w:style>
  <w:style w:type="paragraph" w:styleId="NormalWeb">
    <w:name w:val="Normal (Web)"/>
    <w:basedOn w:val="Normal"/>
    <w:uiPriority w:val="99"/>
    <w:rsid w:val="00B62204"/>
    <w:pPr>
      <w:spacing w:before="100" w:beforeAutospacing="1" w:after="100" w:afterAutospacing="1"/>
    </w:pPr>
    <w:rPr>
      <w:noProof w:val="0"/>
      <w:color w:val="000033"/>
      <w:lang w:val="en-GB"/>
    </w:rPr>
  </w:style>
  <w:style w:type="character" w:styleId="Strong">
    <w:name w:val="Strong"/>
    <w:uiPriority w:val="22"/>
    <w:qFormat/>
    <w:rsid w:val="00B62204"/>
    <w:rPr>
      <w:b/>
      <w:bCs/>
    </w:rPr>
  </w:style>
  <w:style w:type="character" w:customStyle="1" w:styleId="ListParagraphChar">
    <w:name w:val="List Paragraph Char"/>
    <w:aliases w:val="Graph &amp; Table tite Char,En tête 1 Char,Paragrafo elenco1 Char,List (Mannvit) Char,Left Bullet L1 Char,List Paragraph1 Char,Heading 21 Char,Heading 20 Char,Colorful List - Accent 11 Char,REPORT Bullet Char,Nabrajanje Char,Tocka Char"/>
    <w:link w:val="ListParagraph"/>
    <w:uiPriority w:val="34"/>
    <w:qFormat/>
    <w:locked/>
    <w:rsid w:val="00B62204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5E"/>
    <w:rPr>
      <w:rFonts w:ascii="Segoe UI" w:eastAsia="Times New Roman" w:hAnsi="Segoe UI" w:cs="Segoe UI"/>
      <w:noProof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E73235"/>
    <w:rPr>
      <w:color w:val="0563C1" w:themeColor="hyperlink"/>
      <w:u w:val="single"/>
    </w:rPr>
  </w:style>
  <w:style w:type="table" w:styleId="TableGrid">
    <w:name w:val="Table Grid"/>
    <w:basedOn w:val="TableNormal"/>
    <w:rsid w:val="00504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 Arslanagić</dc:creator>
  <cp:keywords/>
  <dc:description/>
  <cp:lastModifiedBy>Samira Talic</cp:lastModifiedBy>
  <cp:revision>4</cp:revision>
  <cp:lastPrinted>2022-10-28T06:39:00Z</cp:lastPrinted>
  <dcterms:created xsi:type="dcterms:W3CDTF">2022-03-31T08:36:00Z</dcterms:created>
  <dcterms:modified xsi:type="dcterms:W3CDTF">2022-10-28T06:40:00Z</dcterms:modified>
</cp:coreProperties>
</file>